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F3" w:rsidRPr="0023277A" w:rsidRDefault="00A4260F" w:rsidP="0023277A">
      <w:pPr>
        <w:pStyle w:val="a4"/>
        <w:rPr>
          <w:b w:val="0"/>
        </w:rPr>
      </w:pPr>
      <w:r w:rsidRPr="0023277A">
        <w:t>Основные</w:t>
      </w:r>
      <w:r w:rsidR="00AF1E54" w:rsidRPr="0023277A">
        <w:t xml:space="preserve"> </w:t>
      </w:r>
      <w:r w:rsidRPr="0023277A">
        <w:t>положения</w:t>
      </w:r>
      <w:r w:rsidR="00AF1E54" w:rsidRPr="0023277A">
        <w:t xml:space="preserve"> </w:t>
      </w:r>
      <w:r w:rsidRPr="0023277A">
        <w:t>учетной</w:t>
      </w:r>
      <w:r w:rsidR="00AF1E54" w:rsidRPr="0023277A">
        <w:t xml:space="preserve"> </w:t>
      </w:r>
      <w:r w:rsidRPr="0023277A">
        <w:t xml:space="preserve">политики </w:t>
      </w:r>
      <w:r w:rsidR="00AF1E54" w:rsidRPr="0023277A">
        <w:t>управления</w:t>
      </w:r>
      <w:r w:rsidRPr="0023277A">
        <w:t xml:space="preserve"> </w:t>
      </w:r>
      <w:r w:rsidR="00A16C26">
        <w:t>муниципального заказа</w:t>
      </w:r>
      <w:r w:rsidR="0023277A" w:rsidRPr="0023277A">
        <w:t xml:space="preserve"> </w:t>
      </w:r>
      <w:r w:rsidR="00AF1E54" w:rsidRPr="0023277A">
        <w:t>а</w:t>
      </w:r>
      <w:r w:rsidRPr="0023277A">
        <w:t>дминистрации</w:t>
      </w:r>
      <w:r w:rsidR="00AF1E54" w:rsidRPr="0023277A">
        <w:t xml:space="preserve"> Городецкого </w:t>
      </w:r>
      <w:r w:rsidRPr="0023277A">
        <w:t>муниципального</w:t>
      </w:r>
      <w:r w:rsidR="00AF1E54" w:rsidRPr="0023277A">
        <w:t xml:space="preserve"> </w:t>
      </w:r>
      <w:r w:rsidRPr="0023277A">
        <w:t>округа</w:t>
      </w:r>
      <w:r w:rsidR="00AF1E54" w:rsidRPr="0023277A">
        <w:t xml:space="preserve"> </w:t>
      </w:r>
      <w:r w:rsidRPr="0023277A">
        <w:t>Нижегородской</w:t>
      </w:r>
      <w:r w:rsidR="00AF1E54" w:rsidRPr="0023277A">
        <w:t xml:space="preserve"> </w:t>
      </w:r>
      <w:r w:rsidRPr="0023277A">
        <w:t>области</w:t>
      </w:r>
      <w:r w:rsidRPr="0023277A">
        <w:rPr>
          <w:b w:val="0"/>
        </w:rPr>
        <w:t xml:space="preserve">, утвержденной приказом </w:t>
      </w:r>
      <w:r w:rsidR="00AF1E54" w:rsidRPr="0023277A">
        <w:rPr>
          <w:b w:val="0"/>
        </w:rPr>
        <w:t>управления</w:t>
      </w:r>
      <w:r w:rsidRPr="0023277A">
        <w:rPr>
          <w:b w:val="0"/>
        </w:rPr>
        <w:t xml:space="preserve"> </w:t>
      </w:r>
      <w:r w:rsidR="00A16C26">
        <w:rPr>
          <w:b w:val="0"/>
        </w:rPr>
        <w:t>муниципального заказа</w:t>
      </w:r>
      <w:r w:rsidR="00AF1E54" w:rsidRPr="0023277A">
        <w:rPr>
          <w:b w:val="0"/>
        </w:rPr>
        <w:t xml:space="preserve"> </w:t>
      </w:r>
      <w:r w:rsidRPr="0023277A">
        <w:rPr>
          <w:b w:val="0"/>
        </w:rPr>
        <w:t xml:space="preserve">от </w:t>
      </w:r>
      <w:r w:rsidR="00A16C26">
        <w:rPr>
          <w:b w:val="0"/>
        </w:rPr>
        <w:t>1</w:t>
      </w:r>
      <w:r w:rsidR="00AF1E54" w:rsidRPr="0023277A">
        <w:rPr>
          <w:b w:val="0"/>
        </w:rPr>
        <w:t>8.12</w:t>
      </w:r>
      <w:r w:rsidRPr="0023277A">
        <w:rPr>
          <w:b w:val="0"/>
        </w:rPr>
        <w:t>.202</w:t>
      </w:r>
      <w:r w:rsidR="00AF1E54" w:rsidRPr="0023277A">
        <w:rPr>
          <w:b w:val="0"/>
        </w:rPr>
        <w:t>4 №</w:t>
      </w:r>
      <w:r w:rsidR="00A16C26">
        <w:rPr>
          <w:b w:val="0"/>
        </w:rPr>
        <w:t xml:space="preserve"> 41</w:t>
      </w:r>
    </w:p>
    <w:p w:rsidR="00833EF3" w:rsidRPr="0023277A" w:rsidRDefault="00A4260F" w:rsidP="00AF1E54">
      <w:pPr>
        <w:keepNext/>
        <w:jc w:val="center"/>
        <w:outlineLvl w:val="4"/>
        <w:rPr>
          <w:sz w:val="28"/>
          <w:szCs w:val="28"/>
        </w:rPr>
      </w:pPr>
      <w:r w:rsidRPr="0023277A">
        <w:rPr>
          <w:sz w:val="28"/>
          <w:szCs w:val="28"/>
        </w:rPr>
        <w:t>«</w:t>
      </w:r>
      <w:r w:rsidR="00AF1E54" w:rsidRPr="0023277A">
        <w:rPr>
          <w:sz w:val="28"/>
          <w:szCs w:val="28"/>
        </w:rPr>
        <w:t xml:space="preserve">Об утверждении Учетной политики для целей бюджетного учета и </w:t>
      </w:r>
      <w:r w:rsidR="00A16C26">
        <w:rPr>
          <w:sz w:val="28"/>
          <w:szCs w:val="28"/>
        </w:rPr>
        <w:t xml:space="preserve">Учетной политики для целей </w:t>
      </w:r>
      <w:r w:rsidR="00AF1E54" w:rsidRPr="0023277A">
        <w:rPr>
          <w:sz w:val="28"/>
          <w:szCs w:val="28"/>
        </w:rPr>
        <w:t>налогообложения</w:t>
      </w:r>
      <w:r w:rsidRPr="0023277A">
        <w:rPr>
          <w:sz w:val="28"/>
          <w:szCs w:val="28"/>
        </w:rPr>
        <w:t>»</w:t>
      </w:r>
      <w:r w:rsidR="002F6FD3">
        <w:rPr>
          <w:sz w:val="28"/>
          <w:szCs w:val="28"/>
        </w:rPr>
        <w:t xml:space="preserve"> (</w:t>
      </w:r>
      <w:r w:rsidR="002F6FD3" w:rsidRPr="00A718CB">
        <w:rPr>
          <w:sz w:val="24"/>
          <w:szCs w:val="28"/>
        </w:rPr>
        <w:t>в редакции приказа управления муниципального заказа администрации Городецкого муниципального округа от 23.12.2025 № 41</w:t>
      </w:r>
      <w:r w:rsidR="002F6FD3">
        <w:rPr>
          <w:sz w:val="28"/>
          <w:szCs w:val="28"/>
        </w:rPr>
        <w:t xml:space="preserve">) </w:t>
      </w:r>
    </w:p>
    <w:p w:rsidR="00833EF3" w:rsidRPr="0023277A" w:rsidRDefault="0023277A" w:rsidP="0023277A">
      <w:pPr>
        <w:pStyle w:val="a3"/>
        <w:ind w:left="1822" w:right="1258"/>
      </w:pPr>
      <w:r>
        <w:t xml:space="preserve">                                </w:t>
      </w:r>
      <w:r w:rsidR="00A4260F" w:rsidRPr="0023277A">
        <w:t>(далее-</w:t>
      </w:r>
      <w:r w:rsidR="00A4260F" w:rsidRPr="0023277A">
        <w:rPr>
          <w:spacing w:val="-2"/>
        </w:rPr>
        <w:t>Приказ)</w:t>
      </w:r>
    </w:p>
    <w:p w:rsidR="00833EF3" w:rsidRDefault="00833EF3" w:rsidP="00AF1E54">
      <w:pPr>
        <w:pStyle w:val="a3"/>
        <w:spacing w:before="13"/>
        <w:jc w:val="center"/>
        <w:rPr>
          <w:sz w:val="20"/>
        </w:rPr>
      </w:pPr>
    </w:p>
    <w:tbl>
      <w:tblPr>
        <w:tblStyle w:val="TableNormal"/>
        <w:tblW w:w="10279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796"/>
        <w:gridCol w:w="6804"/>
      </w:tblGrid>
      <w:tr w:rsidR="00833EF3" w:rsidTr="00B472BD">
        <w:trPr>
          <w:trHeight w:val="643"/>
        </w:trPr>
        <w:tc>
          <w:tcPr>
            <w:tcW w:w="679" w:type="dxa"/>
          </w:tcPr>
          <w:p w:rsidR="00833EF3" w:rsidRDefault="00A4260F">
            <w:pPr>
              <w:pStyle w:val="TableParagraph"/>
              <w:spacing w:line="320" w:lineRule="atLeast"/>
              <w:ind w:left="108" w:right="96" w:firstLine="9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п.п.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left="634" w:right="298" w:hanging="2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положения</w:t>
            </w:r>
          </w:p>
        </w:tc>
        <w:tc>
          <w:tcPr>
            <w:tcW w:w="6804" w:type="dxa"/>
          </w:tcPr>
          <w:p w:rsidR="00833EF3" w:rsidRDefault="00A4260F" w:rsidP="00A16C26">
            <w:pPr>
              <w:pStyle w:val="TableParagraph"/>
              <w:spacing w:before="5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</w:t>
            </w:r>
            <w:r w:rsidR="00AF1E5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 w:rsidR="00AF1E5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AF1E54">
              <w:rPr>
                <w:b/>
                <w:sz w:val="28"/>
              </w:rPr>
              <w:t xml:space="preserve"> </w:t>
            </w:r>
            <w:r w:rsidR="00A16C26">
              <w:rPr>
                <w:b/>
                <w:spacing w:val="-2"/>
                <w:sz w:val="28"/>
              </w:rPr>
              <w:t>Учетной политике</w:t>
            </w:r>
          </w:p>
        </w:tc>
      </w:tr>
      <w:tr w:rsidR="00833EF3" w:rsidTr="00B472BD">
        <w:trPr>
          <w:trHeight w:val="965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298"/>
              <w:rPr>
                <w:sz w:val="28"/>
              </w:rPr>
            </w:pPr>
            <w:r>
              <w:rPr>
                <w:spacing w:val="-2"/>
                <w:sz w:val="28"/>
              </w:rPr>
              <w:t>Ведение бухгалтерского учета</w:t>
            </w:r>
          </w:p>
        </w:tc>
        <w:tc>
          <w:tcPr>
            <w:tcW w:w="6804" w:type="dxa"/>
          </w:tcPr>
          <w:p w:rsidR="00833EF3" w:rsidRDefault="00A16C26" w:rsidP="00A16C26">
            <w:pPr>
              <w:pStyle w:val="TableParagraph"/>
              <w:spacing w:before="5"/>
              <w:ind w:right="123"/>
              <w:rPr>
                <w:sz w:val="28"/>
              </w:rPr>
            </w:pPr>
            <w:r>
              <w:rPr>
                <w:sz w:val="28"/>
              </w:rPr>
              <w:t>Заместитель начальника</w:t>
            </w:r>
            <w:r w:rsidR="00A4260F">
              <w:rPr>
                <w:sz w:val="28"/>
              </w:rPr>
              <w:t xml:space="preserve"> </w:t>
            </w:r>
            <w:r w:rsidR="00AF1E54">
              <w:rPr>
                <w:sz w:val="28"/>
              </w:rPr>
              <w:t>управления</w:t>
            </w:r>
            <w:r w:rsidR="00A4260F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заказа</w:t>
            </w:r>
            <w:r w:rsidR="00AF1E54">
              <w:rPr>
                <w:sz w:val="28"/>
              </w:rPr>
              <w:t xml:space="preserve"> администрации Городецкого муниципального округа</w:t>
            </w:r>
            <w:r w:rsidR="00A4260F">
              <w:rPr>
                <w:sz w:val="28"/>
              </w:rPr>
              <w:t>.</w:t>
            </w:r>
          </w:p>
        </w:tc>
      </w:tr>
      <w:tr w:rsidR="00833EF3" w:rsidTr="00B472BD">
        <w:trPr>
          <w:trHeight w:val="1287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298"/>
              <w:rPr>
                <w:sz w:val="28"/>
              </w:rPr>
            </w:pPr>
            <w:r>
              <w:rPr>
                <w:sz w:val="28"/>
              </w:rPr>
              <w:t xml:space="preserve">Рабочий план </w:t>
            </w:r>
            <w:r>
              <w:rPr>
                <w:spacing w:val="-2"/>
                <w:sz w:val="28"/>
              </w:rPr>
              <w:t>счетов бухгалтерского учета</w:t>
            </w:r>
          </w:p>
        </w:tc>
        <w:tc>
          <w:tcPr>
            <w:tcW w:w="6804" w:type="dxa"/>
          </w:tcPr>
          <w:p w:rsidR="00833EF3" w:rsidRDefault="00A4260F" w:rsidP="00A16C26">
            <w:pPr>
              <w:pStyle w:val="TableParagraph"/>
              <w:spacing w:before="5"/>
              <w:ind w:right="123"/>
              <w:rPr>
                <w:sz w:val="28"/>
              </w:rPr>
            </w:pPr>
            <w:r>
              <w:rPr>
                <w:sz w:val="28"/>
              </w:rPr>
              <w:t>Рабочий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счетов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Приложением</w:t>
            </w:r>
            <w:r w:rsidR="00AF1E54">
              <w:rPr>
                <w:sz w:val="28"/>
              </w:rPr>
              <w:t xml:space="preserve"> №</w:t>
            </w:r>
            <w:r w:rsidR="00A16C26">
              <w:rPr>
                <w:sz w:val="28"/>
              </w:rPr>
              <w:t>6</w:t>
            </w:r>
            <w:r w:rsidR="00AF1E54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к </w:t>
            </w:r>
            <w:r w:rsidR="00A16C26">
              <w:rPr>
                <w:spacing w:val="-2"/>
                <w:sz w:val="28"/>
              </w:rPr>
              <w:t>Учетной политике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833EF3" w:rsidTr="00B472BD">
        <w:trPr>
          <w:trHeight w:val="2897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before="5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Форма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</w:t>
            </w:r>
            <w:r>
              <w:rPr>
                <w:spacing w:val="-2"/>
                <w:sz w:val="28"/>
              </w:rPr>
              <w:t>бухгалтерского учета</w:t>
            </w:r>
          </w:p>
        </w:tc>
        <w:tc>
          <w:tcPr>
            <w:tcW w:w="6804" w:type="dxa"/>
          </w:tcPr>
          <w:p w:rsidR="00833EF3" w:rsidRDefault="00A4260F" w:rsidP="00A16C26">
            <w:pPr>
              <w:pStyle w:val="TableParagraph"/>
              <w:tabs>
                <w:tab w:val="left" w:pos="2952"/>
                <w:tab w:val="left" w:pos="5276"/>
              </w:tabs>
              <w:spacing w:line="320" w:lineRule="atLeast"/>
              <w:ind w:right="259"/>
              <w:rPr>
                <w:sz w:val="28"/>
              </w:rPr>
            </w:pPr>
            <w:r>
              <w:rPr>
                <w:sz w:val="28"/>
              </w:rPr>
              <w:t>Автоматизированная форма с применением специализированных программных комплексов:</w:t>
            </w:r>
            <w:r w:rsidR="00A718CB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по исполнению сметы «1С</w:t>
            </w:r>
            <w:r w:rsidR="00C57285">
              <w:rPr>
                <w:sz w:val="28"/>
              </w:rPr>
              <w:t>: Бухгалтерия», «1С:</w:t>
            </w:r>
            <w:r>
              <w:rPr>
                <w:sz w:val="28"/>
              </w:rPr>
              <w:t xml:space="preserve"> ЗКГУ»,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по исполнению бюджета ПК «АЦК-Финансы»</w:t>
            </w:r>
            <w:r w:rsidR="00C57285">
              <w:rPr>
                <w:sz w:val="28"/>
              </w:rPr>
              <w:t>,</w:t>
            </w:r>
            <w:r w:rsidR="00AF1E54">
              <w:rPr>
                <w:sz w:val="28"/>
              </w:rPr>
              <w:t xml:space="preserve"> «АЦК-Планирование»</w:t>
            </w:r>
            <w:r>
              <w:rPr>
                <w:sz w:val="28"/>
              </w:rPr>
              <w:t xml:space="preserve">, </w:t>
            </w:r>
            <w:r w:rsidR="00A16C26">
              <w:rPr>
                <w:sz w:val="28"/>
              </w:rPr>
              <w:t>«АЦК-Госзаказ»</w:t>
            </w:r>
            <w:r>
              <w:rPr>
                <w:sz w:val="28"/>
              </w:rPr>
              <w:t>.</w:t>
            </w:r>
          </w:p>
        </w:tc>
      </w:tr>
      <w:tr w:rsidR="00833EF3" w:rsidTr="00B472BD">
        <w:trPr>
          <w:trHeight w:val="2642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before="5"/>
              <w:ind w:right="298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первичных </w:t>
            </w:r>
            <w:r>
              <w:rPr>
                <w:spacing w:val="-2"/>
                <w:sz w:val="28"/>
              </w:rPr>
              <w:t>учетных документов</w:t>
            </w:r>
          </w:p>
          <w:p w:rsidR="00833EF3" w:rsidRDefault="00A4260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 бумажных носителях или в форме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электронного </w:t>
            </w:r>
            <w:r>
              <w:rPr>
                <w:spacing w:val="-2"/>
                <w:sz w:val="28"/>
              </w:rPr>
              <w:t xml:space="preserve">документа, </w:t>
            </w:r>
            <w:r>
              <w:rPr>
                <w:sz w:val="28"/>
              </w:rPr>
              <w:t>подписанного ЭЦП</w:t>
            </w:r>
          </w:p>
        </w:tc>
        <w:tc>
          <w:tcPr>
            <w:tcW w:w="6804" w:type="dxa"/>
          </w:tcPr>
          <w:p w:rsidR="00833EF3" w:rsidRDefault="00A4260F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5"/>
              <w:ind w:left="156" w:right="751" w:firstLine="0"/>
              <w:rPr>
                <w:sz w:val="28"/>
              </w:rPr>
            </w:pPr>
            <w:r>
              <w:rPr>
                <w:sz w:val="28"/>
              </w:rPr>
              <w:t>Формы первичных учетных документов, утвержденные</w:t>
            </w:r>
            <w:r w:rsidR="00AF1E54">
              <w:rPr>
                <w:sz w:val="28"/>
              </w:rPr>
              <w:t xml:space="preserve"> </w:t>
            </w:r>
            <w:hyperlink r:id="rId5">
              <w:r>
                <w:rPr>
                  <w:sz w:val="28"/>
                </w:rPr>
                <w:t>Прика</w:t>
              </w:r>
            </w:hyperlink>
            <w:r>
              <w:rPr>
                <w:sz w:val="28"/>
              </w:rPr>
              <w:t>зом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Минфина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 30.03.2015 </w:t>
            </w:r>
            <w:r w:rsidR="00AF1E54">
              <w:rPr>
                <w:sz w:val="28"/>
              </w:rPr>
              <w:t>№</w:t>
            </w:r>
            <w:r>
              <w:rPr>
                <w:sz w:val="28"/>
              </w:rPr>
              <w:t>52н;</w:t>
            </w:r>
          </w:p>
          <w:p w:rsidR="00833EF3" w:rsidRDefault="00A4260F" w:rsidP="00AF1E54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ind w:left="156" w:right="307" w:firstLine="0"/>
              <w:rPr>
                <w:sz w:val="28"/>
              </w:rPr>
            </w:pPr>
            <w:r>
              <w:rPr>
                <w:sz w:val="28"/>
              </w:rPr>
              <w:t>Унифицированные формы электронных документов и регистров учета, утвержденные Приказом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Минфина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15.04.2021</w:t>
            </w:r>
            <w:r w:rsidR="00AF1E54">
              <w:rPr>
                <w:sz w:val="28"/>
              </w:rPr>
              <w:t xml:space="preserve"> №61н.</w:t>
            </w:r>
          </w:p>
        </w:tc>
      </w:tr>
      <w:tr w:rsidR="00833EF3" w:rsidTr="002F6FD3">
        <w:trPr>
          <w:cantSplit/>
          <w:trHeight w:val="1686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160"/>
              <w:rPr>
                <w:sz w:val="28"/>
              </w:rPr>
            </w:pPr>
            <w:r>
              <w:rPr>
                <w:sz w:val="28"/>
              </w:rPr>
              <w:t xml:space="preserve">Порядок и сроки </w:t>
            </w:r>
            <w:r>
              <w:rPr>
                <w:spacing w:val="-2"/>
                <w:sz w:val="28"/>
              </w:rPr>
              <w:t xml:space="preserve">передачи </w:t>
            </w:r>
            <w:r>
              <w:rPr>
                <w:sz w:val="28"/>
              </w:rPr>
              <w:t>первичных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учетных документов для отражения в </w:t>
            </w:r>
            <w:r>
              <w:rPr>
                <w:spacing w:val="-2"/>
                <w:sz w:val="28"/>
              </w:rPr>
              <w:t>бухгалтерском учете</w:t>
            </w:r>
          </w:p>
        </w:tc>
        <w:tc>
          <w:tcPr>
            <w:tcW w:w="6804" w:type="dxa"/>
          </w:tcPr>
          <w:p w:rsidR="00833EF3" w:rsidRDefault="00A4260F" w:rsidP="00C60002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График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документооборота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 Приложением</w:t>
            </w:r>
            <w:r w:rsidR="00AF1E54">
              <w:rPr>
                <w:sz w:val="28"/>
              </w:rPr>
              <w:t xml:space="preserve"> №4 </w:t>
            </w:r>
            <w:r>
              <w:rPr>
                <w:sz w:val="28"/>
              </w:rPr>
              <w:t>к</w:t>
            </w:r>
            <w:r w:rsidR="00AF1E54">
              <w:rPr>
                <w:sz w:val="28"/>
              </w:rPr>
              <w:t xml:space="preserve"> </w:t>
            </w:r>
            <w:r w:rsidR="00C60002">
              <w:rPr>
                <w:sz w:val="28"/>
              </w:rPr>
              <w:t>Учетной политике</w:t>
            </w:r>
            <w:r>
              <w:rPr>
                <w:sz w:val="28"/>
              </w:rPr>
              <w:t>.</w:t>
            </w:r>
          </w:p>
        </w:tc>
      </w:tr>
      <w:tr w:rsidR="00833EF3" w:rsidTr="002F6FD3">
        <w:trPr>
          <w:cantSplit/>
          <w:trHeight w:val="987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15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регистров </w:t>
            </w:r>
            <w:r>
              <w:rPr>
                <w:spacing w:val="-2"/>
                <w:sz w:val="28"/>
              </w:rPr>
              <w:t>бухгалтерского учета</w:t>
            </w:r>
          </w:p>
        </w:tc>
        <w:tc>
          <w:tcPr>
            <w:tcW w:w="6804" w:type="dxa"/>
          </w:tcPr>
          <w:p w:rsidR="00833EF3" w:rsidRDefault="00A4260F" w:rsidP="00C60002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Перечень,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регистров утвержден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Приложением </w:t>
            </w:r>
            <w:r w:rsidR="00AF1E54">
              <w:rPr>
                <w:sz w:val="28"/>
              </w:rPr>
              <w:t>№5</w:t>
            </w:r>
            <w:r>
              <w:rPr>
                <w:sz w:val="28"/>
              </w:rPr>
              <w:t xml:space="preserve"> к </w:t>
            </w:r>
            <w:r w:rsidR="00C60002">
              <w:rPr>
                <w:sz w:val="28"/>
              </w:rPr>
              <w:t>Учетной политике</w:t>
            </w:r>
            <w:r>
              <w:rPr>
                <w:sz w:val="28"/>
              </w:rPr>
              <w:t>.</w:t>
            </w:r>
          </w:p>
        </w:tc>
      </w:tr>
      <w:tr w:rsidR="00833EF3" w:rsidTr="002F6FD3">
        <w:trPr>
          <w:cantSplit/>
          <w:trHeight w:val="1540"/>
        </w:trPr>
        <w:tc>
          <w:tcPr>
            <w:tcW w:w="679" w:type="dxa"/>
          </w:tcPr>
          <w:p w:rsidR="00833EF3" w:rsidRDefault="00A4260F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 w:rsidR="00AF1E54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 w:rsidR="00A361FB">
              <w:rPr>
                <w:spacing w:val="-5"/>
                <w:sz w:val="28"/>
              </w:rPr>
              <w:t xml:space="preserve"> </w:t>
            </w:r>
            <w:r w:rsidR="00A361FB">
              <w:rPr>
                <w:sz w:val="28"/>
              </w:rPr>
              <w:t xml:space="preserve">поступлению и </w:t>
            </w:r>
            <w:r w:rsidR="00A361FB">
              <w:rPr>
                <w:spacing w:val="-2"/>
                <w:sz w:val="28"/>
              </w:rPr>
              <w:t>выбытию нефинансовых активов</w:t>
            </w:r>
          </w:p>
        </w:tc>
        <w:tc>
          <w:tcPr>
            <w:tcW w:w="6804" w:type="dxa"/>
          </w:tcPr>
          <w:p w:rsidR="00833EF3" w:rsidRDefault="00A4260F" w:rsidP="00C6000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 w:rsidR="00AF1E54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</w:t>
            </w:r>
            <w:r w:rsidR="00AF1E54">
              <w:rPr>
                <w:sz w:val="28"/>
              </w:rPr>
              <w:t xml:space="preserve"> </w:t>
            </w:r>
            <w:r w:rsidR="00C60002">
              <w:rPr>
                <w:sz w:val="28"/>
              </w:rPr>
              <w:t xml:space="preserve">Приложением № 8 </w:t>
            </w:r>
            <w:r w:rsidR="00A718CB">
              <w:rPr>
                <w:sz w:val="28"/>
              </w:rPr>
              <w:t xml:space="preserve">            </w:t>
            </w:r>
            <w:r w:rsidR="00C60002">
              <w:rPr>
                <w:sz w:val="28"/>
              </w:rPr>
              <w:t>к Учетной политике</w:t>
            </w:r>
            <w:r w:rsidR="0023277A">
              <w:rPr>
                <w:spacing w:val="-10"/>
                <w:sz w:val="28"/>
              </w:rPr>
              <w:t>.</w:t>
            </w:r>
          </w:p>
        </w:tc>
      </w:tr>
    </w:tbl>
    <w:p w:rsidR="00833EF3" w:rsidRDefault="00833EF3">
      <w:pPr>
        <w:pStyle w:val="a3"/>
        <w:spacing w:before="5"/>
        <w:rPr>
          <w:sz w:val="2"/>
        </w:rPr>
      </w:pPr>
    </w:p>
    <w:tbl>
      <w:tblPr>
        <w:tblStyle w:val="TableNormal"/>
        <w:tblW w:w="10279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796"/>
        <w:gridCol w:w="6804"/>
      </w:tblGrid>
      <w:tr w:rsidR="00833EF3" w:rsidTr="002F6FD3">
        <w:trPr>
          <w:trHeight w:val="1661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before="5"/>
              <w:ind w:right="2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Порядок проведения инвентаризации </w:t>
            </w:r>
            <w:r>
              <w:rPr>
                <w:sz w:val="28"/>
              </w:rPr>
              <w:t xml:space="preserve">имущества и </w:t>
            </w:r>
            <w:r>
              <w:rPr>
                <w:spacing w:val="-2"/>
                <w:sz w:val="28"/>
              </w:rPr>
              <w:t>обязательств</w:t>
            </w:r>
          </w:p>
        </w:tc>
        <w:tc>
          <w:tcPr>
            <w:tcW w:w="6804" w:type="dxa"/>
          </w:tcPr>
          <w:p w:rsidR="00833EF3" w:rsidRDefault="00A4260F">
            <w:pPr>
              <w:pStyle w:val="TableParagraph"/>
              <w:spacing w:before="5"/>
              <w:ind w:right="123"/>
              <w:rPr>
                <w:sz w:val="28"/>
              </w:rPr>
            </w:pPr>
            <w:r>
              <w:rPr>
                <w:sz w:val="28"/>
              </w:rPr>
              <w:t>П</w:t>
            </w:r>
            <w:r w:rsidR="00C60002">
              <w:rPr>
                <w:sz w:val="28"/>
              </w:rPr>
              <w:t>орядок проведения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инвентаризации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 w:rsidR="00A361FB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и обязательств </w:t>
            </w:r>
            <w:r w:rsidR="00C60002">
              <w:rPr>
                <w:sz w:val="28"/>
              </w:rPr>
              <w:t>установлен в разделе 2 Учетной политики</w:t>
            </w:r>
          </w:p>
          <w:p w:rsidR="00833EF3" w:rsidRDefault="00833EF3" w:rsidP="00A361FB">
            <w:pPr>
              <w:pStyle w:val="TableParagraph"/>
              <w:spacing w:line="320" w:lineRule="atLeast"/>
              <w:ind w:right="123"/>
              <w:rPr>
                <w:sz w:val="28"/>
              </w:rPr>
            </w:pPr>
          </w:p>
        </w:tc>
      </w:tr>
      <w:tr w:rsidR="00833EF3" w:rsidTr="002F6FD3">
        <w:trPr>
          <w:trHeight w:val="3858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ind w:right="5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Порядок </w:t>
            </w:r>
            <w:r>
              <w:rPr>
                <w:sz w:val="28"/>
              </w:rPr>
              <w:t>формирования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использования резервов предстоящих расходов</w:t>
            </w:r>
          </w:p>
        </w:tc>
        <w:tc>
          <w:tcPr>
            <w:tcW w:w="6804" w:type="dxa"/>
          </w:tcPr>
          <w:p w:rsidR="00C60002" w:rsidRDefault="00C60002" w:rsidP="00A718CB">
            <w:pPr>
              <w:pStyle w:val="TableParagraph"/>
              <w:spacing w:line="320" w:lineRule="atLeast"/>
              <w:ind w:right="123"/>
              <w:jc w:val="both"/>
              <w:rPr>
                <w:sz w:val="28"/>
              </w:rPr>
            </w:pPr>
            <w:r w:rsidRPr="00C60002">
              <w:rPr>
                <w:sz w:val="28"/>
              </w:rPr>
              <w:t xml:space="preserve">Порядок </w:t>
            </w:r>
            <w:r>
              <w:rPr>
                <w:sz w:val="28"/>
              </w:rPr>
              <w:t>формирования резервов</w:t>
            </w:r>
            <w:r w:rsidRPr="00C6000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предстоящих расходов </w:t>
            </w:r>
            <w:r w:rsidRPr="00C60002">
              <w:rPr>
                <w:sz w:val="28"/>
              </w:rPr>
              <w:t xml:space="preserve">установлен в разделе </w:t>
            </w:r>
            <w:r>
              <w:rPr>
                <w:sz w:val="28"/>
              </w:rPr>
              <w:t>3</w:t>
            </w:r>
            <w:r w:rsidRPr="00C60002">
              <w:rPr>
                <w:sz w:val="28"/>
              </w:rPr>
              <w:t xml:space="preserve"> Учетной политики</w:t>
            </w:r>
            <w:r w:rsidR="00A4260F">
              <w:rPr>
                <w:sz w:val="28"/>
              </w:rPr>
              <w:t xml:space="preserve">. </w:t>
            </w:r>
          </w:p>
          <w:p w:rsidR="00833EF3" w:rsidRDefault="00A4260F" w:rsidP="00A718CB">
            <w:pPr>
              <w:pStyle w:val="TableParagraph"/>
              <w:spacing w:line="320" w:lineRule="atLeast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>Для расчета резерва для оплаты отпусков осуществляется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состоянию </w:t>
            </w:r>
            <w:r w:rsidR="00A718CB">
              <w:rPr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неиспользованных дней отпуска включаются только те дни, право </w:t>
            </w:r>
            <w:r w:rsidR="00A718CB">
              <w:rPr>
                <w:sz w:val="28"/>
              </w:rPr>
              <w:t xml:space="preserve">          </w:t>
            </w:r>
            <w:r>
              <w:rPr>
                <w:sz w:val="28"/>
              </w:rPr>
              <w:t xml:space="preserve">на которые работники уже заработали и не использовали по состоянию на 31 декабря. Расчет производится </w:t>
            </w:r>
            <w:r w:rsidR="00A718CB">
              <w:rPr>
                <w:sz w:val="28"/>
              </w:rPr>
              <w:t xml:space="preserve">    </w:t>
            </w:r>
            <w:r w:rsidR="00C60002">
              <w:rPr>
                <w:sz w:val="28"/>
              </w:rPr>
              <w:t>по управлению в целом</w:t>
            </w:r>
            <w:r>
              <w:rPr>
                <w:sz w:val="28"/>
              </w:rPr>
              <w:t>. Сумма резерва для оплаты отпусков по состоянию на конец периода определяется как сумма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обязательства</w:t>
            </w:r>
            <w:r w:rsidR="00A361FB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 </w:t>
            </w:r>
            <w:r>
              <w:rPr>
                <w:sz w:val="28"/>
              </w:rPr>
              <w:t>на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оплату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>отпусков и обязательства на уплату страховых взносов.</w:t>
            </w:r>
          </w:p>
        </w:tc>
      </w:tr>
      <w:tr w:rsidR="00833EF3" w:rsidTr="002F6FD3">
        <w:trPr>
          <w:trHeight w:val="1604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140"/>
              <w:rPr>
                <w:sz w:val="28"/>
              </w:rPr>
            </w:pPr>
            <w:r>
              <w:rPr>
                <w:sz w:val="28"/>
              </w:rPr>
              <w:t>Учет</w:t>
            </w:r>
            <w:r w:rsidR="00A361F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нефинансовых </w:t>
            </w:r>
            <w:r>
              <w:rPr>
                <w:spacing w:val="-2"/>
                <w:sz w:val="28"/>
              </w:rPr>
              <w:t>активов, финансовых активов, обязательств</w:t>
            </w:r>
          </w:p>
        </w:tc>
        <w:tc>
          <w:tcPr>
            <w:tcW w:w="6804" w:type="dxa"/>
          </w:tcPr>
          <w:p w:rsidR="00833EF3" w:rsidRDefault="00A718CB" w:rsidP="00A718CB">
            <w:pPr>
              <w:pStyle w:val="TableParagraph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 w:rsidR="002F6F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 w:rsidR="00A361FB">
              <w:rPr>
                <w:sz w:val="28"/>
              </w:rPr>
              <w:t>Ф</w:t>
            </w:r>
            <w:r w:rsidR="00A4260F">
              <w:rPr>
                <w:sz w:val="28"/>
              </w:rPr>
              <w:t>едеральными</w:t>
            </w:r>
            <w:r w:rsidR="00A361FB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стандартами</w:t>
            </w:r>
            <w:r w:rsidR="00A361FB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бухгалтерского</w:t>
            </w:r>
            <w:r w:rsidR="00A361FB">
              <w:rPr>
                <w:sz w:val="28"/>
              </w:rPr>
              <w:t xml:space="preserve"> </w:t>
            </w:r>
            <w:r w:rsidR="00A4260F">
              <w:rPr>
                <w:spacing w:val="-2"/>
                <w:sz w:val="28"/>
              </w:rPr>
              <w:t>учета.</w:t>
            </w:r>
          </w:p>
        </w:tc>
      </w:tr>
    </w:tbl>
    <w:p w:rsidR="00833EF3" w:rsidRDefault="00833EF3">
      <w:pPr>
        <w:pStyle w:val="a3"/>
        <w:spacing w:before="5"/>
        <w:rPr>
          <w:sz w:val="2"/>
        </w:rPr>
      </w:pPr>
    </w:p>
    <w:tbl>
      <w:tblPr>
        <w:tblStyle w:val="TableNormal"/>
        <w:tblW w:w="10279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796"/>
        <w:gridCol w:w="6804"/>
      </w:tblGrid>
      <w:tr w:rsidR="00833EF3" w:rsidTr="00A718CB">
        <w:trPr>
          <w:trHeight w:val="3362"/>
        </w:trPr>
        <w:tc>
          <w:tcPr>
            <w:tcW w:w="679" w:type="dxa"/>
          </w:tcPr>
          <w:p w:rsidR="00833EF3" w:rsidRDefault="00A4260F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before="5"/>
              <w:ind w:right="2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Учет </w:t>
            </w:r>
            <w:r>
              <w:rPr>
                <w:spacing w:val="-2"/>
                <w:sz w:val="28"/>
              </w:rPr>
              <w:t>межбюджетных трансфертов</w:t>
            </w:r>
          </w:p>
        </w:tc>
        <w:tc>
          <w:tcPr>
            <w:tcW w:w="6804" w:type="dxa"/>
          </w:tcPr>
          <w:p w:rsidR="00833EF3" w:rsidRDefault="00A4260F" w:rsidP="00A718CB">
            <w:pPr>
              <w:pStyle w:val="TableParagraph"/>
              <w:spacing w:before="5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признаются</w:t>
            </w:r>
            <w:r w:rsidR="007E7AF1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      </w:t>
            </w:r>
            <w:r>
              <w:rPr>
                <w:sz w:val="28"/>
              </w:rPr>
              <w:t xml:space="preserve">в бухгалтерском учете по факту возникновения права на их получение доходами будущих </w:t>
            </w:r>
            <w:r>
              <w:rPr>
                <w:spacing w:val="-2"/>
                <w:sz w:val="28"/>
              </w:rPr>
              <w:t>периодов.</w:t>
            </w:r>
          </w:p>
          <w:p w:rsidR="00833EF3" w:rsidRDefault="00A4260F" w:rsidP="00A718CB">
            <w:pPr>
              <w:pStyle w:val="TableParagraph"/>
              <w:ind w:right="259"/>
              <w:jc w:val="both"/>
              <w:rPr>
                <w:sz w:val="28"/>
              </w:rPr>
            </w:pPr>
            <w:r>
              <w:rPr>
                <w:sz w:val="28"/>
              </w:rPr>
              <w:t>Без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признаются</w:t>
            </w:r>
            <w:r w:rsidR="007E7AF1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     </w:t>
            </w:r>
            <w:r>
              <w:rPr>
                <w:sz w:val="28"/>
              </w:rPr>
              <w:t>в бухгалтерском учете доходами текущего отчетного периода.</w:t>
            </w:r>
          </w:p>
          <w:p w:rsidR="00833EF3" w:rsidRDefault="00A4260F" w:rsidP="00A718CB">
            <w:pPr>
              <w:pStyle w:val="TableParagraph"/>
              <w:spacing w:line="320" w:lineRule="atLeast"/>
              <w:ind w:right="160"/>
              <w:jc w:val="both"/>
              <w:rPr>
                <w:sz w:val="28"/>
              </w:rPr>
            </w:pPr>
            <w:r>
              <w:rPr>
                <w:sz w:val="28"/>
              </w:rPr>
              <w:t>Основание - уведомление по расчетам между бюджетами, соглашение, распоряжение, извещение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подтверждающий предоставление трансферта бюджету округа.</w:t>
            </w:r>
          </w:p>
        </w:tc>
      </w:tr>
      <w:tr w:rsidR="00833EF3" w:rsidTr="00A718CB">
        <w:trPr>
          <w:trHeight w:val="3214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Порядок признания в бухгалтерском учете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бухгалтерской (финансовой) </w:t>
            </w:r>
            <w:r>
              <w:rPr>
                <w:sz w:val="28"/>
              </w:rPr>
              <w:t>отчетности</w:t>
            </w:r>
            <w:r w:rsidR="007E7AF1">
              <w:rPr>
                <w:sz w:val="28"/>
              </w:rPr>
              <w:t xml:space="preserve"> событий</w:t>
            </w:r>
            <w:r>
              <w:rPr>
                <w:sz w:val="28"/>
              </w:rPr>
              <w:t xml:space="preserve"> после отчетной </w:t>
            </w:r>
            <w:r>
              <w:rPr>
                <w:spacing w:val="-4"/>
                <w:sz w:val="28"/>
              </w:rPr>
              <w:t>даты</w:t>
            </w:r>
          </w:p>
        </w:tc>
        <w:tc>
          <w:tcPr>
            <w:tcW w:w="6804" w:type="dxa"/>
          </w:tcPr>
          <w:p w:rsidR="00833EF3" w:rsidRDefault="00A4260F" w:rsidP="00A718CB">
            <w:pPr>
              <w:pStyle w:val="TableParagraph"/>
              <w:spacing w:line="320" w:lineRule="atLeast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>Существенное корректирующее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учреждения, регистрации в бухгалтерской отчетности за отчетный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существенного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корректирующего события оформляется Бухгалтерской справкой (ф.0504833) с детализацией</w:t>
            </w:r>
            <w:r w:rsidR="00A718C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в Пояснительной </w:t>
            </w:r>
            <w:r>
              <w:rPr>
                <w:spacing w:val="-2"/>
                <w:sz w:val="28"/>
              </w:rPr>
              <w:t>записке.</w:t>
            </w:r>
          </w:p>
        </w:tc>
      </w:tr>
      <w:tr w:rsidR="00833EF3" w:rsidTr="00A718CB">
        <w:trPr>
          <w:trHeight w:val="960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Санкционирование расходов</w:t>
            </w:r>
          </w:p>
        </w:tc>
        <w:tc>
          <w:tcPr>
            <w:tcW w:w="6804" w:type="dxa"/>
          </w:tcPr>
          <w:p w:rsidR="00833EF3" w:rsidRDefault="00A4260F" w:rsidP="00A718CB">
            <w:pPr>
              <w:pStyle w:val="TableParagraph"/>
              <w:spacing w:line="320" w:lineRule="atLeast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бюджетных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денежных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 согласно п</w:t>
            </w:r>
            <w:r w:rsidR="002F6FD3">
              <w:rPr>
                <w:sz w:val="28"/>
              </w:rPr>
              <w:t>унктам</w:t>
            </w:r>
            <w:r>
              <w:rPr>
                <w:sz w:val="28"/>
              </w:rPr>
              <w:t xml:space="preserve"> </w:t>
            </w:r>
            <w:r w:rsidR="002F6FD3">
              <w:rPr>
                <w:sz w:val="28"/>
              </w:rPr>
              <w:t>206,207,208</w:t>
            </w:r>
            <w:r>
              <w:rPr>
                <w:sz w:val="28"/>
              </w:rPr>
              <w:t xml:space="preserve"> </w:t>
            </w:r>
            <w:r w:rsidR="002F6FD3">
              <w:rPr>
                <w:sz w:val="28"/>
              </w:rPr>
              <w:t>Приказа Минфина РФ от 30.08.2024 №121н.</w:t>
            </w:r>
          </w:p>
        </w:tc>
      </w:tr>
      <w:tr w:rsidR="00833EF3" w:rsidTr="00A718CB">
        <w:trPr>
          <w:trHeight w:val="2248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spacing w:line="320" w:lineRule="atLeast"/>
              <w:ind w:right="3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налоговой отчетности, </w:t>
            </w:r>
            <w:r>
              <w:rPr>
                <w:sz w:val="28"/>
              </w:rPr>
              <w:t xml:space="preserve">отчетности в </w:t>
            </w:r>
            <w:r>
              <w:rPr>
                <w:spacing w:val="-2"/>
                <w:sz w:val="28"/>
              </w:rPr>
              <w:t xml:space="preserve">Росстат, </w:t>
            </w:r>
            <w:r>
              <w:rPr>
                <w:sz w:val="28"/>
              </w:rPr>
              <w:t>Социальный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Фонд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804" w:type="dxa"/>
          </w:tcPr>
          <w:p w:rsidR="00833EF3" w:rsidRDefault="00A4260F" w:rsidP="00A718CB">
            <w:pPr>
              <w:pStyle w:val="TableParagraph"/>
              <w:ind w:right="310"/>
              <w:jc w:val="both"/>
              <w:rPr>
                <w:sz w:val="28"/>
              </w:rPr>
            </w:pPr>
            <w:r>
              <w:rPr>
                <w:sz w:val="28"/>
              </w:rPr>
              <w:t>Электронный способ по телекоммуникационным каналам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="007E7AF1">
              <w:rPr>
                <w:sz w:val="28"/>
              </w:rPr>
              <w:t xml:space="preserve"> </w:t>
            </w:r>
            <w:r w:rsidR="00A718CB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>ПП</w:t>
            </w:r>
            <w:r w:rsidR="00324E0B">
              <w:rPr>
                <w:sz w:val="28"/>
              </w:rPr>
              <w:t xml:space="preserve"> «</w:t>
            </w:r>
            <w:proofErr w:type="spellStart"/>
            <w:r w:rsidR="002F6FD3">
              <w:rPr>
                <w:sz w:val="28"/>
              </w:rPr>
              <w:t>АстралОтчет</w:t>
            </w:r>
            <w:proofErr w:type="spellEnd"/>
            <w:r w:rsidR="002F6FD3">
              <w:rPr>
                <w:sz w:val="28"/>
              </w:rPr>
              <w:t>»</w:t>
            </w:r>
          </w:p>
        </w:tc>
      </w:tr>
      <w:tr w:rsidR="00833EF3" w:rsidTr="00A718CB">
        <w:trPr>
          <w:trHeight w:val="1604"/>
        </w:trPr>
        <w:tc>
          <w:tcPr>
            <w:tcW w:w="679" w:type="dxa"/>
          </w:tcPr>
          <w:p w:rsidR="00833EF3" w:rsidRDefault="00A4260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796" w:type="dxa"/>
          </w:tcPr>
          <w:p w:rsidR="00833EF3" w:rsidRDefault="00A4260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консолидированной бюджетной отчетности</w:t>
            </w:r>
          </w:p>
        </w:tc>
        <w:tc>
          <w:tcPr>
            <w:tcW w:w="6804" w:type="dxa"/>
          </w:tcPr>
          <w:p w:rsidR="00833EF3" w:rsidRDefault="00A718CB" w:rsidP="00A718CB">
            <w:pPr>
              <w:pStyle w:val="TableParagraph"/>
              <w:spacing w:line="320" w:lineRule="atLeast"/>
              <w:ind w:right="1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</w:t>
            </w:r>
            <w:r w:rsidR="00A4260F">
              <w:rPr>
                <w:sz w:val="28"/>
              </w:rPr>
              <w:t>Приказом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М</w:t>
            </w:r>
            <w:r w:rsidR="007E7AF1">
              <w:rPr>
                <w:sz w:val="28"/>
              </w:rPr>
              <w:t xml:space="preserve">инфина </w:t>
            </w:r>
            <w:r w:rsidR="00A4260F">
              <w:rPr>
                <w:sz w:val="28"/>
              </w:rPr>
              <w:t>РФ</w:t>
            </w:r>
            <w:r w:rsidR="007E7A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</w:t>
            </w:r>
            <w:bookmarkStart w:id="0" w:name="_GoBack"/>
            <w:bookmarkEnd w:id="0"/>
            <w:r w:rsidR="00A4260F">
              <w:rPr>
                <w:sz w:val="28"/>
              </w:rPr>
              <w:t>от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28.12.2010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№191н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с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учетом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консолидации</w:t>
            </w:r>
            <w:r w:rsidR="007E7AF1">
              <w:rPr>
                <w:sz w:val="28"/>
              </w:rPr>
              <w:t xml:space="preserve"> </w:t>
            </w:r>
            <w:r w:rsidR="00A4260F">
              <w:rPr>
                <w:sz w:val="28"/>
              </w:rPr>
              <w:t>взаимосвязанных пока</w:t>
            </w:r>
            <w:r w:rsidR="007E7AF1">
              <w:rPr>
                <w:sz w:val="28"/>
              </w:rPr>
              <w:t>зателей в рамках бюджета округа</w:t>
            </w:r>
            <w:r w:rsidR="00A4260F">
              <w:rPr>
                <w:sz w:val="28"/>
              </w:rPr>
              <w:t xml:space="preserve"> в сроки, установленные Министерством финансов Нижегородской области.</w:t>
            </w:r>
          </w:p>
        </w:tc>
      </w:tr>
    </w:tbl>
    <w:p w:rsidR="00A4260F" w:rsidRDefault="00A4260F"/>
    <w:sectPr w:rsidR="00A4260F" w:rsidSect="00833EF3">
      <w:pgSz w:w="11910" w:h="16840"/>
      <w:pgMar w:top="80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6DF"/>
    <w:multiLevelType w:val="hybridMultilevel"/>
    <w:tmpl w:val="756E9762"/>
    <w:lvl w:ilvl="0" w:tplc="1B26CFA2">
      <w:start w:val="1"/>
      <w:numFmt w:val="decimal"/>
      <w:lvlText w:val="%1."/>
      <w:lvlJc w:val="left"/>
      <w:pPr>
        <w:ind w:left="113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83008">
      <w:numFmt w:val="bullet"/>
      <w:lvlText w:val="•"/>
      <w:lvlJc w:val="left"/>
      <w:pPr>
        <w:ind w:left="779" w:hanging="280"/>
      </w:pPr>
      <w:rPr>
        <w:rFonts w:hint="default"/>
        <w:lang w:val="ru-RU" w:eastAsia="en-US" w:bidi="ar-SA"/>
      </w:rPr>
    </w:lvl>
    <w:lvl w:ilvl="2" w:tplc="016253F8">
      <w:numFmt w:val="bullet"/>
      <w:lvlText w:val="•"/>
      <w:lvlJc w:val="left"/>
      <w:pPr>
        <w:ind w:left="1399" w:hanging="280"/>
      </w:pPr>
      <w:rPr>
        <w:rFonts w:hint="default"/>
        <w:lang w:val="ru-RU" w:eastAsia="en-US" w:bidi="ar-SA"/>
      </w:rPr>
    </w:lvl>
    <w:lvl w:ilvl="3" w:tplc="BCF0B41A">
      <w:numFmt w:val="bullet"/>
      <w:lvlText w:val="•"/>
      <w:lvlJc w:val="left"/>
      <w:pPr>
        <w:ind w:left="2019" w:hanging="280"/>
      </w:pPr>
      <w:rPr>
        <w:rFonts w:hint="default"/>
        <w:lang w:val="ru-RU" w:eastAsia="en-US" w:bidi="ar-SA"/>
      </w:rPr>
    </w:lvl>
    <w:lvl w:ilvl="4" w:tplc="EAFA10FE">
      <w:numFmt w:val="bullet"/>
      <w:lvlText w:val="•"/>
      <w:lvlJc w:val="left"/>
      <w:pPr>
        <w:ind w:left="2639" w:hanging="280"/>
      </w:pPr>
      <w:rPr>
        <w:rFonts w:hint="default"/>
        <w:lang w:val="ru-RU" w:eastAsia="en-US" w:bidi="ar-SA"/>
      </w:rPr>
    </w:lvl>
    <w:lvl w:ilvl="5" w:tplc="4F8899C8">
      <w:numFmt w:val="bullet"/>
      <w:lvlText w:val="•"/>
      <w:lvlJc w:val="left"/>
      <w:pPr>
        <w:ind w:left="3259" w:hanging="280"/>
      </w:pPr>
      <w:rPr>
        <w:rFonts w:hint="default"/>
        <w:lang w:val="ru-RU" w:eastAsia="en-US" w:bidi="ar-SA"/>
      </w:rPr>
    </w:lvl>
    <w:lvl w:ilvl="6" w:tplc="32D22A16">
      <w:numFmt w:val="bullet"/>
      <w:lvlText w:val="•"/>
      <w:lvlJc w:val="left"/>
      <w:pPr>
        <w:ind w:left="3878" w:hanging="280"/>
      </w:pPr>
      <w:rPr>
        <w:rFonts w:hint="default"/>
        <w:lang w:val="ru-RU" w:eastAsia="en-US" w:bidi="ar-SA"/>
      </w:rPr>
    </w:lvl>
    <w:lvl w:ilvl="7" w:tplc="FF96E69C">
      <w:numFmt w:val="bullet"/>
      <w:lvlText w:val="•"/>
      <w:lvlJc w:val="left"/>
      <w:pPr>
        <w:ind w:left="4498" w:hanging="280"/>
      </w:pPr>
      <w:rPr>
        <w:rFonts w:hint="default"/>
        <w:lang w:val="ru-RU" w:eastAsia="en-US" w:bidi="ar-SA"/>
      </w:rPr>
    </w:lvl>
    <w:lvl w:ilvl="8" w:tplc="8C700ADC">
      <w:numFmt w:val="bullet"/>
      <w:lvlText w:val="•"/>
      <w:lvlJc w:val="left"/>
      <w:pPr>
        <w:ind w:left="511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3EF3"/>
    <w:rsid w:val="0003530D"/>
    <w:rsid w:val="0023277A"/>
    <w:rsid w:val="002F6FD3"/>
    <w:rsid w:val="00324E0B"/>
    <w:rsid w:val="0045207B"/>
    <w:rsid w:val="00524054"/>
    <w:rsid w:val="0053732E"/>
    <w:rsid w:val="006059D6"/>
    <w:rsid w:val="007E7AF1"/>
    <w:rsid w:val="00833EF3"/>
    <w:rsid w:val="00906F30"/>
    <w:rsid w:val="00922A3C"/>
    <w:rsid w:val="009A0D23"/>
    <w:rsid w:val="00A16C26"/>
    <w:rsid w:val="00A361FB"/>
    <w:rsid w:val="00A4260F"/>
    <w:rsid w:val="00A46912"/>
    <w:rsid w:val="00A718CB"/>
    <w:rsid w:val="00AE3D87"/>
    <w:rsid w:val="00AF1E54"/>
    <w:rsid w:val="00B472BD"/>
    <w:rsid w:val="00C57285"/>
    <w:rsid w:val="00C60002"/>
    <w:rsid w:val="00E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77E1"/>
  <w15:docId w15:val="{F742C2E9-6D63-4266-9212-6D87360A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3E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E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EF3"/>
    <w:rPr>
      <w:sz w:val="28"/>
      <w:szCs w:val="28"/>
    </w:rPr>
  </w:style>
  <w:style w:type="paragraph" w:styleId="a4">
    <w:name w:val="Title"/>
    <w:basedOn w:val="a"/>
    <w:uiPriority w:val="1"/>
    <w:qFormat/>
    <w:rsid w:val="00833EF3"/>
    <w:pPr>
      <w:spacing w:before="73"/>
      <w:ind w:left="1822" w:right="12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3EF3"/>
  </w:style>
  <w:style w:type="paragraph" w:customStyle="1" w:styleId="TableParagraph">
    <w:name w:val="Table Paragraph"/>
    <w:basedOn w:val="a"/>
    <w:uiPriority w:val="1"/>
    <w:qFormat/>
    <w:rsid w:val="00833EF3"/>
    <w:pPr>
      <w:ind w:left="107"/>
    </w:pPr>
  </w:style>
  <w:style w:type="paragraph" w:styleId="a6">
    <w:name w:val="Balloon Text"/>
    <w:basedOn w:val="a"/>
    <w:link w:val="a7"/>
    <w:uiPriority w:val="99"/>
    <w:qFormat/>
    <w:rsid w:val="00AF1E54"/>
    <w:pPr>
      <w:widowControl/>
      <w:autoSpaceDE/>
      <w:autoSpaceDN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sid w:val="00AF1E54"/>
    <w:rPr>
      <w:rFonts w:ascii="Tahoma" w:eastAsia="Times New Roman" w:hAnsi="Tahoma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8304ABD9CBBAD8680DB62E973B08E169244591A971CDA5A31F3FA8DE23J05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положения учетной политики министерства финансов Нижегородской области (далее – министерства), утвержденной приказом министерства от 29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положения учетной политики министерства финансов Нижегородской области (далее – министерства), утвержденной приказом министерства от 29</dc:title>
  <dc:creator>Григорьева Ирина Александровна</dc:creator>
  <cp:lastModifiedBy>User</cp:lastModifiedBy>
  <cp:revision>13</cp:revision>
  <dcterms:created xsi:type="dcterms:W3CDTF">2025-03-19T12:51:00Z</dcterms:created>
  <dcterms:modified xsi:type="dcterms:W3CDTF">2026-06-01T13:13:00Z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2025-03-19T00:00:00Z</vt:filetime>
  </property>
  <property fmtid="{D5CDD505-2E9C-101B-9397-08002B2CF9AE}" pid="5" name="Producer">
    <vt:lpwstr>r7-office/7.4.0.112</vt:lpwstr>
  </property>
</Properties>
</file>